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8FABC" w14:textId="77777777" w:rsidR="008B6DAE" w:rsidRPr="008B6DAE" w:rsidRDefault="008B6DAE" w:rsidP="008B6DAE">
      <w:r w:rsidRPr="008B6DAE">
        <w:rPr>
          <w:rFonts w:hint="eastAsia"/>
        </w:rPr>
        <w:t>鉾田市建設工事の最低制限価格決定等に係る事務処理要領</w:t>
      </w:r>
    </w:p>
    <w:p w14:paraId="2424E41D" w14:textId="77777777" w:rsidR="008B6DAE" w:rsidRPr="008B6DAE" w:rsidRDefault="008B6DAE" w:rsidP="008B6DAE">
      <w:pPr>
        <w:rPr>
          <w:rFonts w:hint="eastAsia"/>
        </w:rPr>
      </w:pPr>
      <w:r w:rsidRPr="008B6DAE">
        <w:rPr>
          <w:rFonts w:hint="eastAsia"/>
        </w:rPr>
        <w:t>(目的)</w:t>
      </w:r>
    </w:p>
    <w:p w14:paraId="364FEFF9" w14:textId="77777777" w:rsidR="008B6DAE" w:rsidRPr="008B6DAE" w:rsidRDefault="008B6DAE" w:rsidP="008B6DAE">
      <w:pPr>
        <w:rPr>
          <w:rFonts w:hint="eastAsia"/>
        </w:rPr>
      </w:pPr>
      <w:r w:rsidRPr="008B6DAE">
        <w:rPr>
          <w:rFonts w:hint="eastAsia"/>
        </w:rPr>
        <w:t>第1条　この要領は，地方自治法施行令第167条の10第2項(同第167条の13において準用する場合も含む。)及び鉾田市契約規則(平成17年鉾田市規則第32号)第12条第1項(同第26条において準用する場合も含む。)に規定する最低制限価格の決定及び事務手続について定めるものである。</w:t>
      </w:r>
    </w:p>
    <w:p w14:paraId="33B5E937" w14:textId="77777777" w:rsidR="008B6DAE" w:rsidRPr="008B6DAE" w:rsidRDefault="008B6DAE" w:rsidP="008B6DAE">
      <w:pPr>
        <w:rPr>
          <w:rFonts w:hint="eastAsia"/>
        </w:rPr>
      </w:pPr>
      <w:r w:rsidRPr="008B6DAE">
        <w:rPr>
          <w:rFonts w:hint="eastAsia"/>
        </w:rPr>
        <w:t>(適用の対象)</w:t>
      </w:r>
    </w:p>
    <w:p w14:paraId="64C0C0F0" w14:textId="77777777" w:rsidR="008B6DAE" w:rsidRPr="008B6DAE" w:rsidRDefault="008B6DAE" w:rsidP="008B6DAE">
      <w:pPr>
        <w:rPr>
          <w:rFonts w:hint="eastAsia"/>
        </w:rPr>
      </w:pPr>
      <w:r w:rsidRPr="008B6DAE">
        <w:rPr>
          <w:rFonts w:hint="eastAsia"/>
        </w:rPr>
        <w:t>第2条　適用の対象は，原則として，競争入札により発注する1件の予定価格が500万円以上5,000万円未満の建設工事とする。ただし，当該競争入札に係る契約の履行に関し，特にその必要がないと認められるときは，最低制限価格を設けないことができるものとする。</w:t>
      </w:r>
    </w:p>
    <w:p w14:paraId="51B6AED9" w14:textId="77777777" w:rsidR="008B6DAE" w:rsidRPr="008B6DAE" w:rsidRDefault="008B6DAE" w:rsidP="008B6DAE">
      <w:pPr>
        <w:rPr>
          <w:rFonts w:hint="eastAsia"/>
        </w:rPr>
      </w:pPr>
      <w:r w:rsidRPr="008B6DAE">
        <w:rPr>
          <w:rFonts w:hint="eastAsia"/>
        </w:rPr>
        <w:t>(定義)</w:t>
      </w:r>
    </w:p>
    <w:p w14:paraId="685E97BE" w14:textId="77777777" w:rsidR="008B6DAE" w:rsidRPr="008B6DAE" w:rsidRDefault="008B6DAE" w:rsidP="008B6DAE">
      <w:pPr>
        <w:rPr>
          <w:rFonts w:hint="eastAsia"/>
        </w:rPr>
      </w:pPr>
      <w:r w:rsidRPr="008B6DAE">
        <w:rPr>
          <w:rFonts w:hint="eastAsia"/>
        </w:rPr>
        <w:t>第3条　この要領において，次の各号に掲げる用語の意義は，当該各号に定めるところによる。</w:t>
      </w:r>
    </w:p>
    <w:p w14:paraId="0FF036DB" w14:textId="77777777" w:rsidR="008B6DAE" w:rsidRPr="008B6DAE" w:rsidRDefault="008B6DAE" w:rsidP="008B6DAE">
      <w:pPr>
        <w:rPr>
          <w:rFonts w:hint="eastAsia"/>
        </w:rPr>
      </w:pPr>
      <w:r w:rsidRPr="008B6DAE">
        <w:rPr>
          <w:rFonts w:hint="eastAsia"/>
        </w:rPr>
        <w:t>(1)　最低制限基本価格とは，最低制限価格の算出の基礎となるものをいう。</w:t>
      </w:r>
    </w:p>
    <w:p w14:paraId="0D753971" w14:textId="77777777" w:rsidR="008B6DAE" w:rsidRPr="008B6DAE" w:rsidRDefault="008B6DAE" w:rsidP="008B6DAE">
      <w:pPr>
        <w:rPr>
          <w:rFonts w:hint="eastAsia"/>
        </w:rPr>
      </w:pPr>
      <w:r w:rsidRPr="008B6DAE">
        <w:rPr>
          <w:rFonts w:hint="eastAsia"/>
        </w:rPr>
        <w:t>(2)　無作為(ランダム)係数とは，乱数を使用して無作為(ランダム)に算出される「0.9950」から「1.0050」までの数値(小数点以下第4位まで算出)をいう。</w:t>
      </w:r>
    </w:p>
    <w:p w14:paraId="65295B45" w14:textId="77777777" w:rsidR="008B6DAE" w:rsidRPr="008B6DAE" w:rsidRDefault="008B6DAE" w:rsidP="008B6DAE">
      <w:pPr>
        <w:rPr>
          <w:rFonts w:hint="eastAsia"/>
        </w:rPr>
      </w:pPr>
      <w:r w:rsidRPr="008B6DAE">
        <w:rPr>
          <w:rFonts w:hint="eastAsia"/>
        </w:rPr>
        <w:t>(3)　最低制限価格とは，最低制限基本価格に無作為(ランダム)係数を乗じて算出した価格(当該額に1円未満の端数が生じたときは，当該額を切り捨てた額)をいい，その額を下回る額(税抜)で入札した者を失格とするものとする。</w:t>
      </w:r>
    </w:p>
    <w:p w14:paraId="7E9F613F" w14:textId="77777777" w:rsidR="008B6DAE" w:rsidRPr="008B6DAE" w:rsidRDefault="008B6DAE" w:rsidP="008B6DAE">
      <w:pPr>
        <w:rPr>
          <w:rFonts w:hint="eastAsia"/>
        </w:rPr>
      </w:pPr>
      <w:r w:rsidRPr="008B6DAE">
        <w:rPr>
          <w:rFonts w:hint="eastAsia"/>
        </w:rPr>
        <w:t>(最低制限基本価格)</w:t>
      </w:r>
    </w:p>
    <w:p w14:paraId="43629F67" w14:textId="77777777" w:rsidR="008B6DAE" w:rsidRPr="008B6DAE" w:rsidRDefault="008B6DAE" w:rsidP="008B6DAE">
      <w:pPr>
        <w:rPr>
          <w:rFonts w:hint="eastAsia"/>
        </w:rPr>
      </w:pPr>
      <w:r w:rsidRPr="008B6DAE">
        <w:rPr>
          <w:rFonts w:hint="eastAsia"/>
        </w:rPr>
        <w:t>第4条　最低制限基本価格は，予定価格(消費税及び地方消費税相当額を除く。)の基礎となった次の各号に掲げる額の合計額(1,000円未満の金額は切り捨てる。)とする。ただし，その額が予定価格(消費税及び地方消費税相当額を除く。)の10分の9.2を超える場合は10分の9.2を乗じた額とし，予定価格(消費税及び地方消費税相当額を除く。)の10分の7.5に満たない場合は10分の7.5を乗じた額とする。</w:t>
      </w:r>
    </w:p>
    <w:p w14:paraId="398A1373" w14:textId="77777777" w:rsidR="008B6DAE" w:rsidRPr="008B6DAE" w:rsidRDefault="008B6DAE" w:rsidP="008B6DAE">
      <w:pPr>
        <w:rPr>
          <w:rFonts w:hint="eastAsia"/>
        </w:rPr>
      </w:pPr>
      <w:r w:rsidRPr="008B6DAE">
        <w:rPr>
          <w:rFonts w:hint="eastAsia"/>
        </w:rPr>
        <w:t>(1)　直接工事費の額に10分の9.7を乗じて得た額</w:t>
      </w:r>
    </w:p>
    <w:p w14:paraId="0119053D" w14:textId="77777777" w:rsidR="008B6DAE" w:rsidRPr="008B6DAE" w:rsidRDefault="008B6DAE" w:rsidP="008B6DAE">
      <w:pPr>
        <w:rPr>
          <w:rFonts w:hint="eastAsia"/>
        </w:rPr>
      </w:pPr>
      <w:r w:rsidRPr="008B6DAE">
        <w:rPr>
          <w:rFonts w:hint="eastAsia"/>
        </w:rPr>
        <w:t>(2)　共通仮設費の額に10分の9を乗じて得た額</w:t>
      </w:r>
    </w:p>
    <w:p w14:paraId="37EA9C33" w14:textId="77777777" w:rsidR="008B6DAE" w:rsidRPr="008B6DAE" w:rsidRDefault="008B6DAE" w:rsidP="008B6DAE">
      <w:pPr>
        <w:rPr>
          <w:rFonts w:hint="eastAsia"/>
        </w:rPr>
      </w:pPr>
      <w:r w:rsidRPr="008B6DAE">
        <w:rPr>
          <w:rFonts w:hint="eastAsia"/>
        </w:rPr>
        <w:t>(3)　現場管理費の額に10分の9を乗じて得た額</w:t>
      </w:r>
    </w:p>
    <w:p w14:paraId="3E771C5B" w14:textId="77777777" w:rsidR="008B6DAE" w:rsidRPr="008B6DAE" w:rsidRDefault="008B6DAE" w:rsidP="008B6DAE">
      <w:pPr>
        <w:rPr>
          <w:rFonts w:hint="eastAsia"/>
        </w:rPr>
      </w:pPr>
      <w:r w:rsidRPr="008B6DAE">
        <w:rPr>
          <w:rFonts w:hint="eastAsia"/>
        </w:rPr>
        <w:t>(4)　一般管理費(契約保証費を含む)の額に10分の6.8を乗じて得た額</w:t>
      </w:r>
    </w:p>
    <w:p w14:paraId="7A87AD77" w14:textId="77777777" w:rsidR="008B6DAE" w:rsidRPr="008B6DAE" w:rsidRDefault="008B6DAE" w:rsidP="008B6DAE">
      <w:pPr>
        <w:rPr>
          <w:rFonts w:hint="eastAsia"/>
        </w:rPr>
      </w:pPr>
      <w:r w:rsidRPr="008B6DAE">
        <w:rPr>
          <w:rFonts w:hint="eastAsia"/>
        </w:rPr>
        <w:t>2　　前項第１号から第４号の規定中，建築工事（電気設備工事，機械設備工事，外構工事を含む）にあっては，同項第１号中「直接工事費」とあるのは「直接工事費相当額（直接工事費に10分の９を乗じて得た額）」と，同項第３号中「現場管理費」とあるのは「現場管理費相当額（現場管理費に直接工事費の10分の１を加えた額）」と読み替えるものとする。</w:t>
      </w:r>
    </w:p>
    <w:p w14:paraId="4216A956" w14:textId="77777777" w:rsidR="008B6DAE" w:rsidRPr="008B6DAE" w:rsidRDefault="008B6DAE" w:rsidP="008B6DAE">
      <w:pPr>
        <w:rPr>
          <w:rFonts w:hint="eastAsia"/>
        </w:rPr>
      </w:pPr>
      <w:r w:rsidRPr="008B6DAE">
        <w:rPr>
          <w:rFonts w:hint="eastAsia"/>
        </w:rPr>
        <w:t>3　　第１項第１号から第４号の規定中，昇降機設備工事その他の製造部門を持つ専門工事業者を対象とした工事にあっては，同項第１号中「直接工事費」とあるのは「直接工事費相当額（直接工事費に10分の８を乗じて得た額）」と，同項第３号中「現場管理費」とあるの</w:t>
      </w:r>
      <w:r w:rsidRPr="008B6DAE">
        <w:rPr>
          <w:rFonts w:hint="eastAsia"/>
        </w:rPr>
        <w:lastRenderedPageBreak/>
        <w:t>は「現場管理費相当額（現場管理費に直接工事費の10分の２を加えた額）」と読み替えるものとする。</w:t>
      </w:r>
    </w:p>
    <w:p w14:paraId="7A6B32DD" w14:textId="77777777" w:rsidR="008B6DAE" w:rsidRPr="008B6DAE" w:rsidRDefault="008B6DAE" w:rsidP="008B6DAE">
      <w:pPr>
        <w:rPr>
          <w:rFonts w:hint="eastAsia"/>
        </w:rPr>
      </w:pPr>
      <w:r w:rsidRPr="008B6DAE">
        <w:rPr>
          <w:rFonts w:hint="eastAsia"/>
        </w:rPr>
        <w:t>4　　特別なものについては，前３項の規定にかかわらず，契約ごとに10分の7.5から10分の9.2の範囲で市長又は地方自治法(昭和22年法律第67号)第180条の２の規定により委任された者及び鉾田市会計規則(平成17年鉾田市規則第35号)第２条に規定する者(以下「予算執行者」という。)の定める割合を乗じた額とする。</w:t>
      </w:r>
    </w:p>
    <w:p w14:paraId="7D8B3454" w14:textId="77777777" w:rsidR="008B6DAE" w:rsidRPr="008B6DAE" w:rsidRDefault="008B6DAE" w:rsidP="008B6DAE">
      <w:pPr>
        <w:rPr>
          <w:rFonts w:hint="eastAsia"/>
        </w:rPr>
      </w:pPr>
      <w:r w:rsidRPr="008B6DAE">
        <w:rPr>
          <w:rFonts w:hint="eastAsia"/>
        </w:rPr>
        <w:t>(最低制限基本価格の決定)</w:t>
      </w:r>
    </w:p>
    <w:p w14:paraId="60637805" w14:textId="77777777" w:rsidR="008B6DAE" w:rsidRPr="008B6DAE" w:rsidRDefault="008B6DAE" w:rsidP="008B6DAE">
      <w:pPr>
        <w:rPr>
          <w:rFonts w:hint="eastAsia"/>
        </w:rPr>
      </w:pPr>
      <w:r w:rsidRPr="008B6DAE">
        <w:rPr>
          <w:rFonts w:hint="eastAsia"/>
        </w:rPr>
        <w:t>第5条　契約担当者は，入札日までに第4条に定める方法により最低制限基本価格を決定するものとする。なお，鉾田市建設工事等施工手続及び監督規程(平成17年鉾田市訓令第68号)第7条に規定する予定価格書(以下「予定価格書」という。)の作成については，従前の例による。なお，予定価格書における入札書比較価格及び最低制限基本価格については，消費税及び地方消費税を控除した額となることに注意するものとする。</w:t>
      </w:r>
    </w:p>
    <w:p w14:paraId="63003B3F" w14:textId="77777777" w:rsidR="008B6DAE" w:rsidRPr="008B6DAE" w:rsidRDefault="008B6DAE" w:rsidP="008B6DAE">
      <w:pPr>
        <w:rPr>
          <w:rFonts w:hint="eastAsia"/>
        </w:rPr>
      </w:pPr>
      <w:r w:rsidRPr="008B6DAE">
        <w:rPr>
          <w:rFonts w:hint="eastAsia"/>
        </w:rPr>
        <w:t>(無作為(ランダム)係数等の取扱い)</w:t>
      </w:r>
    </w:p>
    <w:p w14:paraId="1AEDBB27" w14:textId="77777777" w:rsidR="008B6DAE" w:rsidRPr="008B6DAE" w:rsidRDefault="008B6DAE" w:rsidP="008B6DAE">
      <w:pPr>
        <w:rPr>
          <w:rFonts w:hint="eastAsia"/>
        </w:rPr>
      </w:pPr>
      <w:r w:rsidRPr="008B6DAE">
        <w:rPr>
          <w:rFonts w:hint="eastAsia"/>
        </w:rPr>
        <w:t>第6条　契約担当者は，開札の直前に当日の入札案件全てについて，システムにより無作為(ランダム)係数を決定後印刷するものとし，開札時刻経過後，開札案件ごとに最低制限価格を決定するものとする。</w:t>
      </w:r>
    </w:p>
    <w:p w14:paraId="2D3183C9" w14:textId="77777777" w:rsidR="008B6DAE" w:rsidRPr="008B6DAE" w:rsidRDefault="008B6DAE" w:rsidP="008B6DAE">
      <w:pPr>
        <w:rPr>
          <w:rFonts w:hint="eastAsia"/>
        </w:rPr>
      </w:pPr>
      <w:r w:rsidRPr="008B6DAE">
        <w:rPr>
          <w:rFonts w:hint="eastAsia"/>
        </w:rPr>
        <w:t>(無作為(ランダム)係数の公表)</w:t>
      </w:r>
    </w:p>
    <w:p w14:paraId="5F998DD5" w14:textId="77777777" w:rsidR="008B6DAE" w:rsidRPr="008B6DAE" w:rsidRDefault="008B6DAE" w:rsidP="008B6DAE">
      <w:pPr>
        <w:rPr>
          <w:rFonts w:hint="eastAsia"/>
        </w:rPr>
      </w:pPr>
      <w:r w:rsidRPr="008B6DAE">
        <w:rPr>
          <w:rFonts w:hint="eastAsia"/>
        </w:rPr>
        <w:t>第7条　入札執行者は，第6条の規定に基づき決定された無作為(ランダム)係数を，入札参加者のうち希望者には開札後，口頭により公表できるものとする。</w:t>
      </w:r>
    </w:p>
    <w:p w14:paraId="20E32016" w14:textId="77777777" w:rsidR="008B6DAE" w:rsidRPr="008B6DAE" w:rsidRDefault="008B6DAE" w:rsidP="008B6DAE">
      <w:pPr>
        <w:rPr>
          <w:rFonts w:hint="eastAsia"/>
        </w:rPr>
      </w:pPr>
      <w:r w:rsidRPr="008B6DAE">
        <w:rPr>
          <w:rFonts w:hint="eastAsia"/>
        </w:rPr>
        <w:t>(パソコンの障害時の対応)</w:t>
      </w:r>
    </w:p>
    <w:p w14:paraId="4452C18F" w14:textId="77777777" w:rsidR="008B6DAE" w:rsidRPr="008B6DAE" w:rsidRDefault="008B6DAE" w:rsidP="008B6DAE">
      <w:pPr>
        <w:rPr>
          <w:rFonts w:hint="eastAsia"/>
        </w:rPr>
      </w:pPr>
      <w:r w:rsidRPr="008B6DAE">
        <w:rPr>
          <w:rFonts w:hint="eastAsia"/>
        </w:rPr>
        <w:t>第8条　入札(開札)会場において，パソコンの故障等により最低制限価格等のデータをパソコンに読み込むことが困難となった場合には，入札を保留し，パソコンの交換等必要な対策を講ずるものとする。</w:t>
      </w:r>
    </w:p>
    <w:p w14:paraId="35D8756C" w14:textId="77777777" w:rsidR="008B6DAE" w:rsidRPr="008B6DAE" w:rsidRDefault="008B6DAE" w:rsidP="008B6DAE">
      <w:pPr>
        <w:rPr>
          <w:rFonts w:hint="eastAsia"/>
        </w:rPr>
      </w:pPr>
      <w:r w:rsidRPr="008B6DAE">
        <w:rPr>
          <w:rFonts w:hint="eastAsia"/>
        </w:rPr>
        <w:t>2　前項の規定にもかかわらず，避け難い事故等により回復の見込みがたたない場合には，予定価格書に記入している最低制限基本価格を最低制限価格とするものとする。</w:t>
      </w:r>
    </w:p>
    <w:p w14:paraId="4C1D8E58" w14:textId="77777777" w:rsidR="008B6DAE" w:rsidRPr="008B6DAE" w:rsidRDefault="008B6DAE" w:rsidP="008B6DAE">
      <w:pPr>
        <w:rPr>
          <w:rFonts w:hint="eastAsia"/>
        </w:rPr>
      </w:pPr>
      <w:r w:rsidRPr="008B6DAE">
        <w:rPr>
          <w:rFonts w:hint="eastAsia"/>
        </w:rPr>
        <w:t>(補則)</w:t>
      </w:r>
    </w:p>
    <w:p w14:paraId="24EAA534" w14:textId="77777777" w:rsidR="008B6DAE" w:rsidRPr="008B6DAE" w:rsidRDefault="008B6DAE" w:rsidP="008B6DAE">
      <w:pPr>
        <w:rPr>
          <w:rFonts w:hint="eastAsia"/>
        </w:rPr>
      </w:pPr>
      <w:r w:rsidRPr="008B6DAE">
        <w:rPr>
          <w:rFonts w:hint="eastAsia"/>
        </w:rPr>
        <w:t>第9条　この要領に定めるもののほか，必要な事項は，別に定める。</w:t>
      </w:r>
    </w:p>
    <w:p w14:paraId="4FFECDC5" w14:textId="77777777" w:rsidR="00B15A99" w:rsidRPr="008B6DAE" w:rsidRDefault="00B15A99"/>
    <w:sectPr w:rsidR="00B15A99" w:rsidRPr="008B6D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AE"/>
    <w:rsid w:val="002F7738"/>
    <w:rsid w:val="0050663F"/>
    <w:rsid w:val="008B6DAE"/>
    <w:rsid w:val="00B15A99"/>
    <w:rsid w:val="00C53473"/>
    <w:rsid w:val="00CA1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6DD114"/>
  <w15:chartTrackingRefBased/>
  <w15:docId w15:val="{42499E20-27B3-4CF2-806A-28C9A9A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6D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6D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6D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6D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6D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6D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6D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6D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6D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6D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6D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6D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6D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6D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6D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6D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6D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6D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6D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6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D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6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DAE"/>
    <w:pPr>
      <w:spacing w:before="160" w:after="160"/>
      <w:jc w:val="center"/>
    </w:pPr>
    <w:rPr>
      <w:i/>
      <w:iCs/>
      <w:color w:val="404040" w:themeColor="text1" w:themeTint="BF"/>
    </w:rPr>
  </w:style>
  <w:style w:type="character" w:customStyle="1" w:styleId="a8">
    <w:name w:val="引用文 (文字)"/>
    <w:basedOn w:val="a0"/>
    <w:link w:val="a7"/>
    <w:uiPriority w:val="29"/>
    <w:rsid w:val="008B6DAE"/>
    <w:rPr>
      <w:i/>
      <w:iCs/>
      <w:color w:val="404040" w:themeColor="text1" w:themeTint="BF"/>
    </w:rPr>
  </w:style>
  <w:style w:type="paragraph" w:styleId="a9">
    <w:name w:val="List Paragraph"/>
    <w:basedOn w:val="a"/>
    <w:uiPriority w:val="34"/>
    <w:qFormat/>
    <w:rsid w:val="008B6DAE"/>
    <w:pPr>
      <w:ind w:left="720"/>
      <w:contextualSpacing/>
    </w:pPr>
  </w:style>
  <w:style w:type="character" w:styleId="21">
    <w:name w:val="Intense Emphasis"/>
    <w:basedOn w:val="a0"/>
    <w:uiPriority w:val="21"/>
    <w:qFormat/>
    <w:rsid w:val="008B6DAE"/>
    <w:rPr>
      <w:i/>
      <w:iCs/>
      <w:color w:val="0F4761" w:themeColor="accent1" w:themeShade="BF"/>
    </w:rPr>
  </w:style>
  <w:style w:type="paragraph" w:styleId="22">
    <w:name w:val="Intense Quote"/>
    <w:basedOn w:val="a"/>
    <w:next w:val="a"/>
    <w:link w:val="23"/>
    <w:uiPriority w:val="30"/>
    <w:qFormat/>
    <w:rsid w:val="008B6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6DAE"/>
    <w:rPr>
      <w:i/>
      <w:iCs/>
      <w:color w:val="0F4761" w:themeColor="accent1" w:themeShade="BF"/>
    </w:rPr>
  </w:style>
  <w:style w:type="character" w:styleId="24">
    <w:name w:val="Intense Reference"/>
    <w:basedOn w:val="a0"/>
    <w:uiPriority w:val="32"/>
    <w:qFormat/>
    <w:rsid w:val="008B6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15508">
      <w:bodyDiv w:val="1"/>
      <w:marLeft w:val="0"/>
      <w:marRight w:val="0"/>
      <w:marTop w:val="0"/>
      <w:marBottom w:val="0"/>
      <w:divBdr>
        <w:top w:val="none" w:sz="0" w:space="0" w:color="auto"/>
        <w:left w:val="none" w:sz="0" w:space="0" w:color="auto"/>
        <w:bottom w:val="none" w:sz="0" w:space="0" w:color="auto"/>
        <w:right w:val="none" w:sz="0" w:space="0" w:color="auto"/>
      </w:divBdr>
      <w:divsChild>
        <w:div w:id="1646739297">
          <w:marLeft w:val="0"/>
          <w:marRight w:val="0"/>
          <w:marTop w:val="0"/>
          <w:marBottom w:val="0"/>
          <w:divBdr>
            <w:top w:val="none" w:sz="0" w:space="0" w:color="auto"/>
            <w:left w:val="none" w:sz="0" w:space="0" w:color="auto"/>
            <w:bottom w:val="none" w:sz="0" w:space="0" w:color="auto"/>
            <w:right w:val="single" w:sz="12" w:space="0" w:color="0000FF"/>
          </w:divBdr>
          <w:divsChild>
            <w:div w:id="717171367">
              <w:marLeft w:val="0"/>
              <w:marRight w:val="0"/>
              <w:marTop w:val="0"/>
              <w:marBottom w:val="0"/>
              <w:divBdr>
                <w:top w:val="none" w:sz="0" w:space="0" w:color="auto"/>
                <w:left w:val="none" w:sz="0" w:space="0" w:color="auto"/>
                <w:bottom w:val="none" w:sz="0" w:space="0" w:color="auto"/>
                <w:right w:val="none" w:sz="0" w:space="0" w:color="auto"/>
              </w:divBdr>
            </w:div>
          </w:divsChild>
        </w:div>
        <w:div w:id="57478397">
          <w:marLeft w:val="0"/>
          <w:marRight w:val="0"/>
          <w:marTop w:val="0"/>
          <w:marBottom w:val="0"/>
          <w:divBdr>
            <w:top w:val="none" w:sz="0" w:space="0" w:color="auto"/>
            <w:left w:val="none" w:sz="0" w:space="0" w:color="auto"/>
            <w:bottom w:val="none" w:sz="0" w:space="0" w:color="auto"/>
            <w:right w:val="single" w:sz="12" w:space="0" w:color="FFFFFF"/>
          </w:divBdr>
          <w:divsChild>
            <w:div w:id="431321716">
              <w:marLeft w:val="0"/>
              <w:marRight w:val="0"/>
              <w:marTop w:val="0"/>
              <w:marBottom w:val="0"/>
              <w:divBdr>
                <w:top w:val="none" w:sz="0" w:space="0" w:color="auto"/>
                <w:left w:val="none" w:sz="0" w:space="0" w:color="auto"/>
                <w:bottom w:val="none" w:sz="0" w:space="0" w:color="auto"/>
                <w:right w:val="none" w:sz="0" w:space="0" w:color="auto"/>
              </w:divBdr>
            </w:div>
          </w:divsChild>
        </w:div>
        <w:div w:id="1246845172">
          <w:marLeft w:val="0"/>
          <w:marRight w:val="0"/>
          <w:marTop w:val="0"/>
          <w:marBottom w:val="0"/>
          <w:divBdr>
            <w:top w:val="none" w:sz="0" w:space="0" w:color="auto"/>
            <w:left w:val="none" w:sz="0" w:space="0" w:color="auto"/>
            <w:bottom w:val="none" w:sz="0" w:space="0" w:color="auto"/>
            <w:right w:val="single" w:sz="12" w:space="0" w:color="FFFFFF"/>
          </w:divBdr>
          <w:divsChild>
            <w:div w:id="1226916343">
              <w:marLeft w:val="0"/>
              <w:marRight w:val="0"/>
              <w:marTop w:val="0"/>
              <w:marBottom w:val="0"/>
              <w:divBdr>
                <w:top w:val="none" w:sz="0" w:space="0" w:color="auto"/>
                <w:left w:val="none" w:sz="0" w:space="0" w:color="auto"/>
                <w:bottom w:val="none" w:sz="0" w:space="0" w:color="auto"/>
                <w:right w:val="none" w:sz="0" w:space="0" w:color="auto"/>
              </w:divBdr>
            </w:div>
          </w:divsChild>
        </w:div>
        <w:div w:id="834608071">
          <w:marLeft w:val="0"/>
          <w:marRight w:val="0"/>
          <w:marTop w:val="0"/>
          <w:marBottom w:val="0"/>
          <w:divBdr>
            <w:top w:val="none" w:sz="0" w:space="0" w:color="auto"/>
            <w:left w:val="none" w:sz="0" w:space="0" w:color="auto"/>
            <w:bottom w:val="none" w:sz="0" w:space="0" w:color="auto"/>
            <w:right w:val="single" w:sz="12" w:space="0" w:color="FFFFFF"/>
          </w:divBdr>
          <w:divsChild>
            <w:div w:id="610626132">
              <w:marLeft w:val="0"/>
              <w:marRight w:val="0"/>
              <w:marTop w:val="0"/>
              <w:marBottom w:val="0"/>
              <w:divBdr>
                <w:top w:val="none" w:sz="0" w:space="0" w:color="auto"/>
                <w:left w:val="none" w:sz="0" w:space="0" w:color="auto"/>
                <w:bottom w:val="none" w:sz="0" w:space="0" w:color="auto"/>
                <w:right w:val="none" w:sz="0" w:space="0" w:color="auto"/>
              </w:divBdr>
            </w:div>
          </w:divsChild>
        </w:div>
        <w:div w:id="984314008">
          <w:marLeft w:val="0"/>
          <w:marRight w:val="0"/>
          <w:marTop w:val="0"/>
          <w:marBottom w:val="0"/>
          <w:divBdr>
            <w:top w:val="none" w:sz="0" w:space="0" w:color="auto"/>
            <w:left w:val="none" w:sz="0" w:space="0" w:color="auto"/>
            <w:bottom w:val="none" w:sz="0" w:space="0" w:color="auto"/>
            <w:right w:val="single" w:sz="12" w:space="0" w:color="FFFFFF"/>
          </w:divBdr>
          <w:divsChild>
            <w:div w:id="939408246">
              <w:marLeft w:val="0"/>
              <w:marRight w:val="0"/>
              <w:marTop w:val="0"/>
              <w:marBottom w:val="0"/>
              <w:divBdr>
                <w:top w:val="none" w:sz="0" w:space="0" w:color="auto"/>
                <w:left w:val="none" w:sz="0" w:space="0" w:color="auto"/>
                <w:bottom w:val="none" w:sz="0" w:space="0" w:color="auto"/>
                <w:right w:val="none" w:sz="0" w:space="0" w:color="auto"/>
              </w:divBdr>
            </w:div>
          </w:divsChild>
        </w:div>
        <w:div w:id="509299681">
          <w:marLeft w:val="0"/>
          <w:marRight w:val="0"/>
          <w:marTop w:val="0"/>
          <w:marBottom w:val="0"/>
          <w:divBdr>
            <w:top w:val="none" w:sz="0" w:space="0" w:color="auto"/>
            <w:left w:val="none" w:sz="0" w:space="0" w:color="auto"/>
            <w:bottom w:val="none" w:sz="0" w:space="0" w:color="auto"/>
            <w:right w:val="single" w:sz="12" w:space="0" w:color="FFFFFF"/>
          </w:divBdr>
          <w:divsChild>
            <w:div w:id="401949041">
              <w:marLeft w:val="0"/>
              <w:marRight w:val="0"/>
              <w:marTop w:val="0"/>
              <w:marBottom w:val="0"/>
              <w:divBdr>
                <w:top w:val="none" w:sz="0" w:space="0" w:color="auto"/>
                <w:left w:val="none" w:sz="0" w:space="0" w:color="auto"/>
                <w:bottom w:val="none" w:sz="0" w:space="0" w:color="auto"/>
                <w:right w:val="none" w:sz="0" w:space="0" w:color="auto"/>
              </w:divBdr>
            </w:div>
          </w:divsChild>
        </w:div>
        <w:div w:id="1349454192">
          <w:marLeft w:val="0"/>
          <w:marRight w:val="0"/>
          <w:marTop w:val="0"/>
          <w:marBottom w:val="0"/>
          <w:divBdr>
            <w:top w:val="none" w:sz="0" w:space="0" w:color="auto"/>
            <w:left w:val="none" w:sz="0" w:space="0" w:color="auto"/>
            <w:bottom w:val="none" w:sz="0" w:space="0" w:color="auto"/>
            <w:right w:val="single" w:sz="12" w:space="0" w:color="FFFFFF"/>
          </w:divBdr>
          <w:divsChild>
            <w:div w:id="267592201">
              <w:marLeft w:val="0"/>
              <w:marRight w:val="0"/>
              <w:marTop w:val="0"/>
              <w:marBottom w:val="0"/>
              <w:divBdr>
                <w:top w:val="none" w:sz="0" w:space="0" w:color="auto"/>
                <w:left w:val="none" w:sz="0" w:space="0" w:color="auto"/>
                <w:bottom w:val="none" w:sz="0" w:space="0" w:color="auto"/>
                <w:right w:val="none" w:sz="0" w:space="0" w:color="auto"/>
              </w:divBdr>
            </w:div>
          </w:divsChild>
        </w:div>
        <w:div w:id="1225993628">
          <w:marLeft w:val="0"/>
          <w:marRight w:val="0"/>
          <w:marTop w:val="0"/>
          <w:marBottom w:val="0"/>
          <w:divBdr>
            <w:top w:val="none" w:sz="0" w:space="0" w:color="auto"/>
            <w:left w:val="none" w:sz="0" w:space="0" w:color="auto"/>
            <w:bottom w:val="none" w:sz="0" w:space="0" w:color="auto"/>
            <w:right w:val="single" w:sz="12" w:space="0" w:color="FFFFFF"/>
          </w:divBdr>
          <w:divsChild>
            <w:div w:id="215119765">
              <w:marLeft w:val="0"/>
              <w:marRight w:val="0"/>
              <w:marTop w:val="0"/>
              <w:marBottom w:val="0"/>
              <w:divBdr>
                <w:top w:val="none" w:sz="0" w:space="0" w:color="auto"/>
                <w:left w:val="none" w:sz="0" w:space="0" w:color="auto"/>
                <w:bottom w:val="none" w:sz="0" w:space="0" w:color="auto"/>
                <w:right w:val="none" w:sz="0" w:space="0" w:color="auto"/>
              </w:divBdr>
            </w:div>
          </w:divsChild>
        </w:div>
        <w:div w:id="1469204737">
          <w:marLeft w:val="0"/>
          <w:marRight w:val="0"/>
          <w:marTop w:val="0"/>
          <w:marBottom w:val="0"/>
          <w:divBdr>
            <w:top w:val="none" w:sz="0" w:space="0" w:color="auto"/>
            <w:left w:val="none" w:sz="0" w:space="0" w:color="auto"/>
            <w:bottom w:val="none" w:sz="0" w:space="0" w:color="auto"/>
            <w:right w:val="single" w:sz="12" w:space="0" w:color="FFFFFF"/>
          </w:divBdr>
          <w:divsChild>
            <w:div w:id="1403672661">
              <w:marLeft w:val="0"/>
              <w:marRight w:val="0"/>
              <w:marTop w:val="0"/>
              <w:marBottom w:val="0"/>
              <w:divBdr>
                <w:top w:val="none" w:sz="0" w:space="0" w:color="auto"/>
                <w:left w:val="none" w:sz="0" w:space="0" w:color="auto"/>
                <w:bottom w:val="none" w:sz="0" w:space="0" w:color="auto"/>
                <w:right w:val="none" w:sz="0" w:space="0" w:color="auto"/>
              </w:divBdr>
            </w:div>
          </w:divsChild>
        </w:div>
        <w:div w:id="1428622238">
          <w:marLeft w:val="0"/>
          <w:marRight w:val="0"/>
          <w:marTop w:val="0"/>
          <w:marBottom w:val="0"/>
          <w:divBdr>
            <w:top w:val="none" w:sz="0" w:space="0" w:color="auto"/>
            <w:left w:val="none" w:sz="0" w:space="0" w:color="auto"/>
            <w:bottom w:val="none" w:sz="0" w:space="0" w:color="auto"/>
            <w:right w:val="single" w:sz="12" w:space="0" w:color="FFFFFF"/>
          </w:divBdr>
          <w:divsChild>
            <w:div w:id="1307012046">
              <w:marLeft w:val="0"/>
              <w:marRight w:val="0"/>
              <w:marTop w:val="0"/>
              <w:marBottom w:val="0"/>
              <w:divBdr>
                <w:top w:val="none" w:sz="0" w:space="0" w:color="auto"/>
                <w:left w:val="none" w:sz="0" w:space="0" w:color="auto"/>
                <w:bottom w:val="none" w:sz="0" w:space="0" w:color="auto"/>
                <w:right w:val="none" w:sz="0" w:space="0" w:color="auto"/>
              </w:divBdr>
            </w:div>
          </w:divsChild>
        </w:div>
        <w:div w:id="1186408886">
          <w:marLeft w:val="0"/>
          <w:marRight w:val="0"/>
          <w:marTop w:val="0"/>
          <w:marBottom w:val="0"/>
          <w:divBdr>
            <w:top w:val="none" w:sz="0" w:space="0" w:color="auto"/>
            <w:left w:val="none" w:sz="0" w:space="0" w:color="auto"/>
            <w:bottom w:val="none" w:sz="0" w:space="0" w:color="auto"/>
            <w:right w:val="single" w:sz="12" w:space="0" w:color="FFFFFF"/>
          </w:divBdr>
          <w:divsChild>
            <w:div w:id="907152230">
              <w:marLeft w:val="0"/>
              <w:marRight w:val="0"/>
              <w:marTop w:val="0"/>
              <w:marBottom w:val="0"/>
              <w:divBdr>
                <w:top w:val="none" w:sz="0" w:space="0" w:color="auto"/>
                <w:left w:val="none" w:sz="0" w:space="0" w:color="auto"/>
                <w:bottom w:val="none" w:sz="0" w:space="0" w:color="auto"/>
                <w:right w:val="none" w:sz="0" w:space="0" w:color="auto"/>
              </w:divBdr>
            </w:div>
          </w:divsChild>
        </w:div>
        <w:div w:id="1001083951">
          <w:marLeft w:val="0"/>
          <w:marRight w:val="0"/>
          <w:marTop w:val="0"/>
          <w:marBottom w:val="0"/>
          <w:divBdr>
            <w:top w:val="none" w:sz="0" w:space="0" w:color="auto"/>
            <w:left w:val="none" w:sz="0" w:space="0" w:color="auto"/>
            <w:bottom w:val="none" w:sz="0" w:space="0" w:color="auto"/>
            <w:right w:val="single" w:sz="12" w:space="0" w:color="FFFFFF"/>
          </w:divBdr>
          <w:divsChild>
            <w:div w:id="967516974">
              <w:marLeft w:val="0"/>
              <w:marRight w:val="0"/>
              <w:marTop w:val="0"/>
              <w:marBottom w:val="0"/>
              <w:divBdr>
                <w:top w:val="none" w:sz="0" w:space="0" w:color="auto"/>
                <w:left w:val="none" w:sz="0" w:space="0" w:color="auto"/>
                <w:bottom w:val="none" w:sz="0" w:space="0" w:color="auto"/>
                <w:right w:val="none" w:sz="0" w:space="0" w:color="auto"/>
              </w:divBdr>
            </w:div>
          </w:divsChild>
        </w:div>
        <w:div w:id="196745437">
          <w:marLeft w:val="0"/>
          <w:marRight w:val="0"/>
          <w:marTop w:val="0"/>
          <w:marBottom w:val="0"/>
          <w:divBdr>
            <w:top w:val="none" w:sz="0" w:space="0" w:color="auto"/>
            <w:left w:val="none" w:sz="0" w:space="0" w:color="auto"/>
            <w:bottom w:val="none" w:sz="0" w:space="0" w:color="auto"/>
            <w:right w:val="single" w:sz="12" w:space="0" w:color="FFFFFF"/>
          </w:divBdr>
          <w:divsChild>
            <w:div w:id="866061583">
              <w:marLeft w:val="0"/>
              <w:marRight w:val="0"/>
              <w:marTop w:val="0"/>
              <w:marBottom w:val="0"/>
              <w:divBdr>
                <w:top w:val="none" w:sz="0" w:space="0" w:color="auto"/>
                <w:left w:val="none" w:sz="0" w:space="0" w:color="auto"/>
                <w:bottom w:val="none" w:sz="0" w:space="0" w:color="auto"/>
                <w:right w:val="none" w:sz="0" w:space="0" w:color="auto"/>
              </w:divBdr>
            </w:div>
          </w:divsChild>
        </w:div>
        <w:div w:id="682902817">
          <w:marLeft w:val="0"/>
          <w:marRight w:val="0"/>
          <w:marTop w:val="0"/>
          <w:marBottom w:val="0"/>
          <w:divBdr>
            <w:top w:val="none" w:sz="0" w:space="0" w:color="auto"/>
            <w:left w:val="none" w:sz="0" w:space="0" w:color="auto"/>
            <w:bottom w:val="none" w:sz="0" w:space="0" w:color="auto"/>
            <w:right w:val="single" w:sz="12" w:space="0" w:color="FFFFFF"/>
          </w:divBdr>
          <w:divsChild>
            <w:div w:id="1781027393">
              <w:marLeft w:val="0"/>
              <w:marRight w:val="0"/>
              <w:marTop w:val="0"/>
              <w:marBottom w:val="0"/>
              <w:divBdr>
                <w:top w:val="none" w:sz="0" w:space="0" w:color="auto"/>
                <w:left w:val="none" w:sz="0" w:space="0" w:color="auto"/>
                <w:bottom w:val="none" w:sz="0" w:space="0" w:color="auto"/>
                <w:right w:val="none" w:sz="0" w:space="0" w:color="auto"/>
              </w:divBdr>
            </w:div>
          </w:divsChild>
        </w:div>
        <w:div w:id="1828863889">
          <w:marLeft w:val="0"/>
          <w:marRight w:val="0"/>
          <w:marTop w:val="0"/>
          <w:marBottom w:val="0"/>
          <w:divBdr>
            <w:top w:val="none" w:sz="0" w:space="0" w:color="auto"/>
            <w:left w:val="none" w:sz="0" w:space="0" w:color="auto"/>
            <w:bottom w:val="none" w:sz="0" w:space="0" w:color="auto"/>
            <w:right w:val="single" w:sz="12" w:space="0" w:color="FFFFFF"/>
          </w:divBdr>
          <w:divsChild>
            <w:div w:id="355038683">
              <w:marLeft w:val="0"/>
              <w:marRight w:val="0"/>
              <w:marTop w:val="0"/>
              <w:marBottom w:val="0"/>
              <w:divBdr>
                <w:top w:val="none" w:sz="0" w:space="0" w:color="auto"/>
                <w:left w:val="none" w:sz="0" w:space="0" w:color="auto"/>
                <w:bottom w:val="none" w:sz="0" w:space="0" w:color="auto"/>
                <w:right w:val="none" w:sz="0" w:space="0" w:color="auto"/>
              </w:divBdr>
            </w:div>
          </w:divsChild>
        </w:div>
        <w:div w:id="1819345077">
          <w:marLeft w:val="0"/>
          <w:marRight w:val="0"/>
          <w:marTop w:val="0"/>
          <w:marBottom w:val="0"/>
          <w:divBdr>
            <w:top w:val="none" w:sz="0" w:space="0" w:color="auto"/>
            <w:left w:val="none" w:sz="0" w:space="0" w:color="auto"/>
            <w:bottom w:val="none" w:sz="0" w:space="0" w:color="auto"/>
            <w:right w:val="single" w:sz="12" w:space="0" w:color="FFFFFF"/>
          </w:divBdr>
          <w:divsChild>
            <w:div w:id="1251697627">
              <w:marLeft w:val="0"/>
              <w:marRight w:val="0"/>
              <w:marTop w:val="0"/>
              <w:marBottom w:val="0"/>
              <w:divBdr>
                <w:top w:val="none" w:sz="0" w:space="0" w:color="auto"/>
                <w:left w:val="none" w:sz="0" w:space="0" w:color="auto"/>
                <w:bottom w:val="none" w:sz="0" w:space="0" w:color="auto"/>
                <w:right w:val="none" w:sz="0" w:space="0" w:color="auto"/>
              </w:divBdr>
            </w:div>
          </w:divsChild>
        </w:div>
        <w:div w:id="1180774256">
          <w:marLeft w:val="0"/>
          <w:marRight w:val="0"/>
          <w:marTop w:val="0"/>
          <w:marBottom w:val="0"/>
          <w:divBdr>
            <w:top w:val="none" w:sz="0" w:space="0" w:color="auto"/>
            <w:left w:val="none" w:sz="0" w:space="0" w:color="auto"/>
            <w:bottom w:val="none" w:sz="0" w:space="0" w:color="auto"/>
            <w:right w:val="single" w:sz="12" w:space="0" w:color="FFFFFF"/>
          </w:divBdr>
          <w:divsChild>
            <w:div w:id="826167720">
              <w:marLeft w:val="0"/>
              <w:marRight w:val="0"/>
              <w:marTop w:val="0"/>
              <w:marBottom w:val="0"/>
              <w:divBdr>
                <w:top w:val="none" w:sz="0" w:space="0" w:color="auto"/>
                <w:left w:val="none" w:sz="0" w:space="0" w:color="auto"/>
                <w:bottom w:val="none" w:sz="0" w:space="0" w:color="auto"/>
                <w:right w:val="none" w:sz="0" w:space="0" w:color="auto"/>
              </w:divBdr>
            </w:div>
          </w:divsChild>
        </w:div>
        <w:div w:id="1684892023">
          <w:marLeft w:val="0"/>
          <w:marRight w:val="0"/>
          <w:marTop w:val="0"/>
          <w:marBottom w:val="0"/>
          <w:divBdr>
            <w:top w:val="none" w:sz="0" w:space="0" w:color="auto"/>
            <w:left w:val="none" w:sz="0" w:space="0" w:color="auto"/>
            <w:bottom w:val="none" w:sz="0" w:space="0" w:color="auto"/>
            <w:right w:val="single" w:sz="12" w:space="0" w:color="FFFFFF"/>
          </w:divBdr>
          <w:divsChild>
            <w:div w:id="1771201132">
              <w:marLeft w:val="0"/>
              <w:marRight w:val="0"/>
              <w:marTop w:val="0"/>
              <w:marBottom w:val="0"/>
              <w:divBdr>
                <w:top w:val="none" w:sz="0" w:space="0" w:color="auto"/>
                <w:left w:val="none" w:sz="0" w:space="0" w:color="auto"/>
                <w:bottom w:val="none" w:sz="0" w:space="0" w:color="auto"/>
                <w:right w:val="none" w:sz="0" w:space="0" w:color="auto"/>
              </w:divBdr>
            </w:div>
          </w:divsChild>
        </w:div>
        <w:div w:id="1404715429">
          <w:marLeft w:val="0"/>
          <w:marRight w:val="0"/>
          <w:marTop w:val="0"/>
          <w:marBottom w:val="0"/>
          <w:divBdr>
            <w:top w:val="none" w:sz="0" w:space="0" w:color="auto"/>
            <w:left w:val="none" w:sz="0" w:space="0" w:color="auto"/>
            <w:bottom w:val="none" w:sz="0" w:space="0" w:color="auto"/>
            <w:right w:val="single" w:sz="12" w:space="0" w:color="FFFFFF"/>
          </w:divBdr>
          <w:divsChild>
            <w:div w:id="724254400">
              <w:marLeft w:val="0"/>
              <w:marRight w:val="0"/>
              <w:marTop w:val="0"/>
              <w:marBottom w:val="0"/>
              <w:divBdr>
                <w:top w:val="none" w:sz="0" w:space="0" w:color="auto"/>
                <w:left w:val="none" w:sz="0" w:space="0" w:color="auto"/>
                <w:bottom w:val="none" w:sz="0" w:space="0" w:color="auto"/>
                <w:right w:val="none" w:sz="0" w:space="0" w:color="auto"/>
              </w:divBdr>
            </w:div>
          </w:divsChild>
        </w:div>
        <w:div w:id="615596687">
          <w:marLeft w:val="0"/>
          <w:marRight w:val="0"/>
          <w:marTop w:val="0"/>
          <w:marBottom w:val="0"/>
          <w:divBdr>
            <w:top w:val="none" w:sz="0" w:space="0" w:color="auto"/>
            <w:left w:val="none" w:sz="0" w:space="0" w:color="auto"/>
            <w:bottom w:val="none" w:sz="0" w:space="0" w:color="auto"/>
            <w:right w:val="single" w:sz="12" w:space="0" w:color="FFFFFF"/>
          </w:divBdr>
          <w:divsChild>
            <w:div w:id="59183883">
              <w:marLeft w:val="0"/>
              <w:marRight w:val="0"/>
              <w:marTop w:val="0"/>
              <w:marBottom w:val="0"/>
              <w:divBdr>
                <w:top w:val="none" w:sz="0" w:space="0" w:color="auto"/>
                <w:left w:val="none" w:sz="0" w:space="0" w:color="auto"/>
                <w:bottom w:val="none" w:sz="0" w:space="0" w:color="auto"/>
                <w:right w:val="none" w:sz="0" w:space="0" w:color="auto"/>
              </w:divBdr>
            </w:div>
          </w:divsChild>
        </w:div>
        <w:div w:id="1746025066">
          <w:marLeft w:val="0"/>
          <w:marRight w:val="0"/>
          <w:marTop w:val="0"/>
          <w:marBottom w:val="0"/>
          <w:divBdr>
            <w:top w:val="none" w:sz="0" w:space="0" w:color="auto"/>
            <w:left w:val="none" w:sz="0" w:space="0" w:color="auto"/>
            <w:bottom w:val="none" w:sz="0" w:space="0" w:color="auto"/>
            <w:right w:val="single" w:sz="12" w:space="0" w:color="FFFFFF"/>
          </w:divBdr>
          <w:divsChild>
            <w:div w:id="306861865">
              <w:marLeft w:val="0"/>
              <w:marRight w:val="0"/>
              <w:marTop w:val="0"/>
              <w:marBottom w:val="0"/>
              <w:divBdr>
                <w:top w:val="none" w:sz="0" w:space="0" w:color="auto"/>
                <w:left w:val="none" w:sz="0" w:space="0" w:color="auto"/>
                <w:bottom w:val="none" w:sz="0" w:space="0" w:color="auto"/>
                <w:right w:val="none" w:sz="0" w:space="0" w:color="auto"/>
              </w:divBdr>
            </w:div>
          </w:divsChild>
        </w:div>
        <w:div w:id="128321895">
          <w:marLeft w:val="0"/>
          <w:marRight w:val="0"/>
          <w:marTop w:val="0"/>
          <w:marBottom w:val="0"/>
          <w:divBdr>
            <w:top w:val="none" w:sz="0" w:space="0" w:color="auto"/>
            <w:left w:val="none" w:sz="0" w:space="0" w:color="auto"/>
            <w:bottom w:val="none" w:sz="0" w:space="0" w:color="auto"/>
            <w:right w:val="single" w:sz="12" w:space="0" w:color="FFFFFF"/>
          </w:divBdr>
          <w:divsChild>
            <w:div w:id="172113537">
              <w:marLeft w:val="0"/>
              <w:marRight w:val="0"/>
              <w:marTop w:val="0"/>
              <w:marBottom w:val="0"/>
              <w:divBdr>
                <w:top w:val="none" w:sz="0" w:space="0" w:color="auto"/>
                <w:left w:val="none" w:sz="0" w:space="0" w:color="auto"/>
                <w:bottom w:val="none" w:sz="0" w:space="0" w:color="auto"/>
                <w:right w:val="none" w:sz="0" w:space="0" w:color="auto"/>
              </w:divBdr>
            </w:div>
          </w:divsChild>
        </w:div>
        <w:div w:id="1235051305">
          <w:marLeft w:val="0"/>
          <w:marRight w:val="0"/>
          <w:marTop w:val="0"/>
          <w:marBottom w:val="0"/>
          <w:divBdr>
            <w:top w:val="none" w:sz="0" w:space="0" w:color="auto"/>
            <w:left w:val="none" w:sz="0" w:space="0" w:color="auto"/>
            <w:bottom w:val="none" w:sz="0" w:space="0" w:color="auto"/>
            <w:right w:val="single" w:sz="12" w:space="0" w:color="FFFFFF"/>
          </w:divBdr>
          <w:divsChild>
            <w:div w:id="8229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911">
      <w:bodyDiv w:val="1"/>
      <w:marLeft w:val="0"/>
      <w:marRight w:val="0"/>
      <w:marTop w:val="0"/>
      <w:marBottom w:val="0"/>
      <w:divBdr>
        <w:top w:val="none" w:sz="0" w:space="0" w:color="auto"/>
        <w:left w:val="none" w:sz="0" w:space="0" w:color="auto"/>
        <w:bottom w:val="none" w:sz="0" w:space="0" w:color="auto"/>
        <w:right w:val="none" w:sz="0" w:space="0" w:color="auto"/>
      </w:divBdr>
      <w:divsChild>
        <w:div w:id="1906377282">
          <w:marLeft w:val="0"/>
          <w:marRight w:val="0"/>
          <w:marTop w:val="0"/>
          <w:marBottom w:val="0"/>
          <w:divBdr>
            <w:top w:val="none" w:sz="0" w:space="0" w:color="auto"/>
            <w:left w:val="none" w:sz="0" w:space="0" w:color="auto"/>
            <w:bottom w:val="none" w:sz="0" w:space="0" w:color="auto"/>
            <w:right w:val="single" w:sz="12" w:space="0" w:color="0000FF"/>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1410811149">
          <w:marLeft w:val="0"/>
          <w:marRight w:val="0"/>
          <w:marTop w:val="0"/>
          <w:marBottom w:val="0"/>
          <w:divBdr>
            <w:top w:val="none" w:sz="0" w:space="0" w:color="auto"/>
            <w:left w:val="none" w:sz="0" w:space="0" w:color="auto"/>
            <w:bottom w:val="none" w:sz="0" w:space="0" w:color="auto"/>
            <w:right w:val="single" w:sz="12" w:space="0" w:color="FFFFFF"/>
          </w:divBdr>
          <w:divsChild>
            <w:div w:id="911504167">
              <w:marLeft w:val="0"/>
              <w:marRight w:val="0"/>
              <w:marTop w:val="0"/>
              <w:marBottom w:val="0"/>
              <w:divBdr>
                <w:top w:val="none" w:sz="0" w:space="0" w:color="auto"/>
                <w:left w:val="none" w:sz="0" w:space="0" w:color="auto"/>
                <w:bottom w:val="none" w:sz="0" w:space="0" w:color="auto"/>
                <w:right w:val="none" w:sz="0" w:space="0" w:color="auto"/>
              </w:divBdr>
            </w:div>
          </w:divsChild>
        </w:div>
        <w:div w:id="1326279029">
          <w:marLeft w:val="0"/>
          <w:marRight w:val="0"/>
          <w:marTop w:val="0"/>
          <w:marBottom w:val="0"/>
          <w:divBdr>
            <w:top w:val="none" w:sz="0" w:space="0" w:color="auto"/>
            <w:left w:val="none" w:sz="0" w:space="0" w:color="auto"/>
            <w:bottom w:val="none" w:sz="0" w:space="0" w:color="auto"/>
            <w:right w:val="single" w:sz="12" w:space="0" w:color="FFFFFF"/>
          </w:divBdr>
          <w:divsChild>
            <w:div w:id="771976231">
              <w:marLeft w:val="0"/>
              <w:marRight w:val="0"/>
              <w:marTop w:val="0"/>
              <w:marBottom w:val="0"/>
              <w:divBdr>
                <w:top w:val="none" w:sz="0" w:space="0" w:color="auto"/>
                <w:left w:val="none" w:sz="0" w:space="0" w:color="auto"/>
                <w:bottom w:val="none" w:sz="0" w:space="0" w:color="auto"/>
                <w:right w:val="none" w:sz="0" w:space="0" w:color="auto"/>
              </w:divBdr>
            </w:div>
          </w:divsChild>
        </w:div>
        <w:div w:id="722682288">
          <w:marLeft w:val="0"/>
          <w:marRight w:val="0"/>
          <w:marTop w:val="0"/>
          <w:marBottom w:val="0"/>
          <w:divBdr>
            <w:top w:val="none" w:sz="0" w:space="0" w:color="auto"/>
            <w:left w:val="none" w:sz="0" w:space="0" w:color="auto"/>
            <w:bottom w:val="none" w:sz="0" w:space="0" w:color="auto"/>
            <w:right w:val="single" w:sz="12" w:space="0" w:color="FFFFFF"/>
          </w:divBdr>
          <w:divsChild>
            <w:div w:id="1552887155">
              <w:marLeft w:val="0"/>
              <w:marRight w:val="0"/>
              <w:marTop w:val="0"/>
              <w:marBottom w:val="0"/>
              <w:divBdr>
                <w:top w:val="none" w:sz="0" w:space="0" w:color="auto"/>
                <w:left w:val="none" w:sz="0" w:space="0" w:color="auto"/>
                <w:bottom w:val="none" w:sz="0" w:space="0" w:color="auto"/>
                <w:right w:val="none" w:sz="0" w:space="0" w:color="auto"/>
              </w:divBdr>
            </w:div>
          </w:divsChild>
        </w:div>
        <w:div w:id="1014381720">
          <w:marLeft w:val="0"/>
          <w:marRight w:val="0"/>
          <w:marTop w:val="0"/>
          <w:marBottom w:val="0"/>
          <w:divBdr>
            <w:top w:val="none" w:sz="0" w:space="0" w:color="auto"/>
            <w:left w:val="none" w:sz="0" w:space="0" w:color="auto"/>
            <w:bottom w:val="none" w:sz="0" w:space="0" w:color="auto"/>
            <w:right w:val="single" w:sz="12" w:space="0" w:color="FFFFFF"/>
          </w:divBdr>
          <w:divsChild>
            <w:div w:id="673724348">
              <w:marLeft w:val="0"/>
              <w:marRight w:val="0"/>
              <w:marTop w:val="0"/>
              <w:marBottom w:val="0"/>
              <w:divBdr>
                <w:top w:val="none" w:sz="0" w:space="0" w:color="auto"/>
                <w:left w:val="none" w:sz="0" w:space="0" w:color="auto"/>
                <w:bottom w:val="none" w:sz="0" w:space="0" w:color="auto"/>
                <w:right w:val="none" w:sz="0" w:space="0" w:color="auto"/>
              </w:divBdr>
            </w:div>
          </w:divsChild>
        </w:div>
        <w:div w:id="1612317165">
          <w:marLeft w:val="0"/>
          <w:marRight w:val="0"/>
          <w:marTop w:val="0"/>
          <w:marBottom w:val="0"/>
          <w:divBdr>
            <w:top w:val="none" w:sz="0" w:space="0" w:color="auto"/>
            <w:left w:val="none" w:sz="0" w:space="0" w:color="auto"/>
            <w:bottom w:val="none" w:sz="0" w:space="0" w:color="auto"/>
            <w:right w:val="single" w:sz="12" w:space="0" w:color="FFFFFF"/>
          </w:divBdr>
          <w:divsChild>
            <w:div w:id="662200789">
              <w:marLeft w:val="0"/>
              <w:marRight w:val="0"/>
              <w:marTop w:val="0"/>
              <w:marBottom w:val="0"/>
              <w:divBdr>
                <w:top w:val="none" w:sz="0" w:space="0" w:color="auto"/>
                <w:left w:val="none" w:sz="0" w:space="0" w:color="auto"/>
                <w:bottom w:val="none" w:sz="0" w:space="0" w:color="auto"/>
                <w:right w:val="none" w:sz="0" w:space="0" w:color="auto"/>
              </w:divBdr>
            </w:div>
          </w:divsChild>
        </w:div>
        <w:div w:id="489754124">
          <w:marLeft w:val="0"/>
          <w:marRight w:val="0"/>
          <w:marTop w:val="0"/>
          <w:marBottom w:val="0"/>
          <w:divBdr>
            <w:top w:val="none" w:sz="0" w:space="0" w:color="auto"/>
            <w:left w:val="none" w:sz="0" w:space="0" w:color="auto"/>
            <w:bottom w:val="none" w:sz="0" w:space="0" w:color="auto"/>
            <w:right w:val="single" w:sz="12" w:space="0" w:color="FFFFFF"/>
          </w:divBdr>
          <w:divsChild>
            <w:div w:id="1875731434">
              <w:marLeft w:val="0"/>
              <w:marRight w:val="0"/>
              <w:marTop w:val="0"/>
              <w:marBottom w:val="0"/>
              <w:divBdr>
                <w:top w:val="none" w:sz="0" w:space="0" w:color="auto"/>
                <w:left w:val="none" w:sz="0" w:space="0" w:color="auto"/>
                <w:bottom w:val="none" w:sz="0" w:space="0" w:color="auto"/>
                <w:right w:val="none" w:sz="0" w:space="0" w:color="auto"/>
              </w:divBdr>
            </w:div>
          </w:divsChild>
        </w:div>
        <w:div w:id="599071169">
          <w:marLeft w:val="0"/>
          <w:marRight w:val="0"/>
          <w:marTop w:val="0"/>
          <w:marBottom w:val="0"/>
          <w:divBdr>
            <w:top w:val="none" w:sz="0" w:space="0" w:color="auto"/>
            <w:left w:val="none" w:sz="0" w:space="0" w:color="auto"/>
            <w:bottom w:val="none" w:sz="0" w:space="0" w:color="auto"/>
            <w:right w:val="single" w:sz="12" w:space="0" w:color="FFFFFF"/>
          </w:divBdr>
          <w:divsChild>
            <w:div w:id="1936132885">
              <w:marLeft w:val="0"/>
              <w:marRight w:val="0"/>
              <w:marTop w:val="0"/>
              <w:marBottom w:val="0"/>
              <w:divBdr>
                <w:top w:val="none" w:sz="0" w:space="0" w:color="auto"/>
                <w:left w:val="none" w:sz="0" w:space="0" w:color="auto"/>
                <w:bottom w:val="none" w:sz="0" w:space="0" w:color="auto"/>
                <w:right w:val="none" w:sz="0" w:space="0" w:color="auto"/>
              </w:divBdr>
            </w:div>
          </w:divsChild>
        </w:div>
        <w:div w:id="685519276">
          <w:marLeft w:val="0"/>
          <w:marRight w:val="0"/>
          <w:marTop w:val="0"/>
          <w:marBottom w:val="0"/>
          <w:divBdr>
            <w:top w:val="none" w:sz="0" w:space="0" w:color="auto"/>
            <w:left w:val="none" w:sz="0" w:space="0" w:color="auto"/>
            <w:bottom w:val="none" w:sz="0" w:space="0" w:color="auto"/>
            <w:right w:val="single" w:sz="12" w:space="0" w:color="FFFFFF"/>
          </w:divBdr>
          <w:divsChild>
            <w:div w:id="258804784">
              <w:marLeft w:val="0"/>
              <w:marRight w:val="0"/>
              <w:marTop w:val="0"/>
              <w:marBottom w:val="0"/>
              <w:divBdr>
                <w:top w:val="none" w:sz="0" w:space="0" w:color="auto"/>
                <w:left w:val="none" w:sz="0" w:space="0" w:color="auto"/>
                <w:bottom w:val="none" w:sz="0" w:space="0" w:color="auto"/>
                <w:right w:val="none" w:sz="0" w:space="0" w:color="auto"/>
              </w:divBdr>
            </w:div>
          </w:divsChild>
        </w:div>
        <w:div w:id="499005976">
          <w:marLeft w:val="0"/>
          <w:marRight w:val="0"/>
          <w:marTop w:val="0"/>
          <w:marBottom w:val="0"/>
          <w:divBdr>
            <w:top w:val="none" w:sz="0" w:space="0" w:color="auto"/>
            <w:left w:val="none" w:sz="0" w:space="0" w:color="auto"/>
            <w:bottom w:val="none" w:sz="0" w:space="0" w:color="auto"/>
            <w:right w:val="single" w:sz="12" w:space="0" w:color="FFFFFF"/>
          </w:divBdr>
          <w:divsChild>
            <w:div w:id="859274626">
              <w:marLeft w:val="0"/>
              <w:marRight w:val="0"/>
              <w:marTop w:val="0"/>
              <w:marBottom w:val="0"/>
              <w:divBdr>
                <w:top w:val="none" w:sz="0" w:space="0" w:color="auto"/>
                <w:left w:val="none" w:sz="0" w:space="0" w:color="auto"/>
                <w:bottom w:val="none" w:sz="0" w:space="0" w:color="auto"/>
                <w:right w:val="none" w:sz="0" w:space="0" w:color="auto"/>
              </w:divBdr>
            </w:div>
          </w:divsChild>
        </w:div>
        <w:div w:id="299112142">
          <w:marLeft w:val="0"/>
          <w:marRight w:val="0"/>
          <w:marTop w:val="0"/>
          <w:marBottom w:val="0"/>
          <w:divBdr>
            <w:top w:val="none" w:sz="0" w:space="0" w:color="auto"/>
            <w:left w:val="none" w:sz="0" w:space="0" w:color="auto"/>
            <w:bottom w:val="none" w:sz="0" w:space="0" w:color="auto"/>
            <w:right w:val="single" w:sz="12" w:space="0" w:color="FFFFFF"/>
          </w:divBdr>
          <w:divsChild>
            <w:div w:id="1344284101">
              <w:marLeft w:val="0"/>
              <w:marRight w:val="0"/>
              <w:marTop w:val="0"/>
              <w:marBottom w:val="0"/>
              <w:divBdr>
                <w:top w:val="none" w:sz="0" w:space="0" w:color="auto"/>
                <w:left w:val="none" w:sz="0" w:space="0" w:color="auto"/>
                <w:bottom w:val="none" w:sz="0" w:space="0" w:color="auto"/>
                <w:right w:val="none" w:sz="0" w:space="0" w:color="auto"/>
              </w:divBdr>
            </w:div>
          </w:divsChild>
        </w:div>
        <w:div w:id="1722552358">
          <w:marLeft w:val="0"/>
          <w:marRight w:val="0"/>
          <w:marTop w:val="0"/>
          <w:marBottom w:val="0"/>
          <w:divBdr>
            <w:top w:val="none" w:sz="0" w:space="0" w:color="auto"/>
            <w:left w:val="none" w:sz="0" w:space="0" w:color="auto"/>
            <w:bottom w:val="none" w:sz="0" w:space="0" w:color="auto"/>
            <w:right w:val="single" w:sz="12" w:space="0" w:color="FFFFFF"/>
          </w:divBdr>
          <w:divsChild>
            <w:div w:id="1912226860">
              <w:marLeft w:val="0"/>
              <w:marRight w:val="0"/>
              <w:marTop w:val="0"/>
              <w:marBottom w:val="0"/>
              <w:divBdr>
                <w:top w:val="none" w:sz="0" w:space="0" w:color="auto"/>
                <w:left w:val="none" w:sz="0" w:space="0" w:color="auto"/>
                <w:bottom w:val="none" w:sz="0" w:space="0" w:color="auto"/>
                <w:right w:val="none" w:sz="0" w:space="0" w:color="auto"/>
              </w:divBdr>
            </w:div>
          </w:divsChild>
        </w:div>
        <w:div w:id="257564135">
          <w:marLeft w:val="0"/>
          <w:marRight w:val="0"/>
          <w:marTop w:val="0"/>
          <w:marBottom w:val="0"/>
          <w:divBdr>
            <w:top w:val="none" w:sz="0" w:space="0" w:color="auto"/>
            <w:left w:val="none" w:sz="0" w:space="0" w:color="auto"/>
            <w:bottom w:val="none" w:sz="0" w:space="0" w:color="auto"/>
            <w:right w:val="single" w:sz="12" w:space="0" w:color="FFFFFF"/>
          </w:divBdr>
          <w:divsChild>
            <w:div w:id="428232793">
              <w:marLeft w:val="0"/>
              <w:marRight w:val="0"/>
              <w:marTop w:val="0"/>
              <w:marBottom w:val="0"/>
              <w:divBdr>
                <w:top w:val="none" w:sz="0" w:space="0" w:color="auto"/>
                <w:left w:val="none" w:sz="0" w:space="0" w:color="auto"/>
                <w:bottom w:val="none" w:sz="0" w:space="0" w:color="auto"/>
                <w:right w:val="none" w:sz="0" w:space="0" w:color="auto"/>
              </w:divBdr>
            </w:div>
          </w:divsChild>
        </w:div>
        <w:div w:id="1990284558">
          <w:marLeft w:val="0"/>
          <w:marRight w:val="0"/>
          <w:marTop w:val="0"/>
          <w:marBottom w:val="0"/>
          <w:divBdr>
            <w:top w:val="none" w:sz="0" w:space="0" w:color="auto"/>
            <w:left w:val="none" w:sz="0" w:space="0" w:color="auto"/>
            <w:bottom w:val="none" w:sz="0" w:space="0" w:color="auto"/>
            <w:right w:val="single" w:sz="12" w:space="0" w:color="FFFFFF"/>
          </w:divBdr>
          <w:divsChild>
            <w:div w:id="683169337">
              <w:marLeft w:val="0"/>
              <w:marRight w:val="0"/>
              <w:marTop w:val="0"/>
              <w:marBottom w:val="0"/>
              <w:divBdr>
                <w:top w:val="none" w:sz="0" w:space="0" w:color="auto"/>
                <w:left w:val="none" w:sz="0" w:space="0" w:color="auto"/>
                <w:bottom w:val="none" w:sz="0" w:space="0" w:color="auto"/>
                <w:right w:val="none" w:sz="0" w:space="0" w:color="auto"/>
              </w:divBdr>
            </w:div>
          </w:divsChild>
        </w:div>
        <w:div w:id="1951158001">
          <w:marLeft w:val="0"/>
          <w:marRight w:val="0"/>
          <w:marTop w:val="0"/>
          <w:marBottom w:val="0"/>
          <w:divBdr>
            <w:top w:val="none" w:sz="0" w:space="0" w:color="auto"/>
            <w:left w:val="none" w:sz="0" w:space="0" w:color="auto"/>
            <w:bottom w:val="none" w:sz="0" w:space="0" w:color="auto"/>
            <w:right w:val="single" w:sz="12" w:space="0" w:color="FFFFFF"/>
          </w:divBdr>
          <w:divsChild>
            <w:div w:id="291443616">
              <w:marLeft w:val="0"/>
              <w:marRight w:val="0"/>
              <w:marTop w:val="0"/>
              <w:marBottom w:val="0"/>
              <w:divBdr>
                <w:top w:val="none" w:sz="0" w:space="0" w:color="auto"/>
                <w:left w:val="none" w:sz="0" w:space="0" w:color="auto"/>
                <w:bottom w:val="none" w:sz="0" w:space="0" w:color="auto"/>
                <w:right w:val="none" w:sz="0" w:space="0" w:color="auto"/>
              </w:divBdr>
            </w:div>
          </w:divsChild>
        </w:div>
        <w:div w:id="1379622866">
          <w:marLeft w:val="0"/>
          <w:marRight w:val="0"/>
          <w:marTop w:val="0"/>
          <w:marBottom w:val="0"/>
          <w:divBdr>
            <w:top w:val="none" w:sz="0" w:space="0" w:color="auto"/>
            <w:left w:val="none" w:sz="0" w:space="0" w:color="auto"/>
            <w:bottom w:val="none" w:sz="0" w:space="0" w:color="auto"/>
            <w:right w:val="single" w:sz="12" w:space="0" w:color="FFFFFF"/>
          </w:divBdr>
          <w:divsChild>
            <w:div w:id="53938102">
              <w:marLeft w:val="0"/>
              <w:marRight w:val="0"/>
              <w:marTop w:val="0"/>
              <w:marBottom w:val="0"/>
              <w:divBdr>
                <w:top w:val="none" w:sz="0" w:space="0" w:color="auto"/>
                <w:left w:val="none" w:sz="0" w:space="0" w:color="auto"/>
                <w:bottom w:val="none" w:sz="0" w:space="0" w:color="auto"/>
                <w:right w:val="none" w:sz="0" w:space="0" w:color="auto"/>
              </w:divBdr>
            </w:div>
          </w:divsChild>
        </w:div>
        <w:div w:id="784886165">
          <w:marLeft w:val="0"/>
          <w:marRight w:val="0"/>
          <w:marTop w:val="0"/>
          <w:marBottom w:val="0"/>
          <w:divBdr>
            <w:top w:val="none" w:sz="0" w:space="0" w:color="auto"/>
            <w:left w:val="none" w:sz="0" w:space="0" w:color="auto"/>
            <w:bottom w:val="none" w:sz="0" w:space="0" w:color="auto"/>
            <w:right w:val="single" w:sz="12" w:space="0" w:color="FFFFFF"/>
          </w:divBdr>
          <w:divsChild>
            <w:div w:id="356659515">
              <w:marLeft w:val="0"/>
              <w:marRight w:val="0"/>
              <w:marTop w:val="0"/>
              <w:marBottom w:val="0"/>
              <w:divBdr>
                <w:top w:val="none" w:sz="0" w:space="0" w:color="auto"/>
                <w:left w:val="none" w:sz="0" w:space="0" w:color="auto"/>
                <w:bottom w:val="none" w:sz="0" w:space="0" w:color="auto"/>
                <w:right w:val="none" w:sz="0" w:space="0" w:color="auto"/>
              </w:divBdr>
            </w:div>
          </w:divsChild>
        </w:div>
        <w:div w:id="1647664791">
          <w:marLeft w:val="0"/>
          <w:marRight w:val="0"/>
          <w:marTop w:val="0"/>
          <w:marBottom w:val="0"/>
          <w:divBdr>
            <w:top w:val="none" w:sz="0" w:space="0" w:color="auto"/>
            <w:left w:val="none" w:sz="0" w:space="0" w:color="auto"/>
            <w:bottom w:val="none" w:sz="0" w:space="0" w:color="auto"/>
            <w:right w:val="single" w:sz="12" w:space="0" w:color="FFFFFF"/>
          </w:divBdr>
          <w:divsChild>
            <w:div w:id="280494983">
              <w:marLeft w:val="0"/>
              <w:marRight w:val="0"/>
              <w:marTop w:val="0"/>
              <w:marBottom w:val="0"/>
              <w:divBdr>
                <w:top w:val="none" w:sz="0" w:space="0" w:color="auto"/>
                <w:left w:val="none" w:sz="0" w:space="0" w:color="auto"/>
                <w:bottom w:val="none" w:sz="0" w:space="0" w:color="auto"/>
                <w:right w:val="none" w:sz="0" w:space="0" w:color="auto"/>
              </w:divBdr>
            </w:div>
          </w:divsChild>
        </w:div>
        <w:div w:id="881088617">
          <w:marLeft w:val="0"/>
          <w:marRight w:val="0"/>
          <w:marTop w:val="0"/>
          <w:marBottom w:val="0"/>
          <w:divBdr>
            <w:top w:val="none" w:sz="0" w:space="0" w:color="auto"/>
            <w:left w:val="none" w:sz="0" w:space="0" w:color="auto"/>
            <w:bottom w:val="none" w:sz="0" w:space="0" w:color="auto"/>
            <w:right w:val="single" w:sz="12" w:space="0" w:color="FFFFFF"/>
          </w:divBdr>
          <w:divsChild>
            <w:div w:id="1838495492">
              <w:marLeft w:val="0"/>
              <w:marRight w:val="0"/>
              <w:marTop w:val="0"/>
              <w:marBottom w:val="0"/>
              <w:divBdr>
                <w:top w:val="none" w:sz="0" w:space="0" w:color="auto"/>
                <w:left w:val="none" w:sz="0" w:space="0" w:color="auto"/>
                <w:bottom w:val="none" w:sz="0" w:space="0" w:color="auto"/>
                <w:right w:val="none" w:sz="0" w:space="0" w:color="auto"/>
              </w:divBdr>
            </w:div>
          </w:divsChild>
        </w:div>
        <w:div w:id="1282111177">
          <w:marLeft w:val="0"/>
          <w:marRight w:val="0"/>
          <w:marTop w:val="0"/>
          <w:marBottom w:val="0"/>
          <w:divBdr>
            <w:top w:val="none" w:sz="0" w:space="0" w:color="auto"/>
            <w:left w:val="none" w:sz="0" w:space="0" w:color="auto"/>
            <w:bottom w:val="none" w:sz="0" w:space="0" w:color="auto"/>
            <w:right w:val="single" w:sz="12" w:space="0" w:color="FFFFFF"/>
          </w:divBdr>
          <w:divsChild>
            <w:div w:id="1732579751">
              <w:marLeft w:val="0"/>
              <w:marRight w:val="0"/>
              <w:marTop w:val="0"/>
              <w:marBottom w:val="0"/>
              <w:divBdr>
                <w:top w:val="none" w:sz="0" w:space="0" w:color="auto"/>
                <w:left w:val="none" w:sz="0" w:space="0" w:color="auto"/>
                <w:bottom w:val="none" w:sz="0" w:space="0" w:color="auto"/>
                <w:right w:val="none" w:sz="0" w:space="0" w:color="auto"/>
              </w:divBdr>
            </w:div>
          </w:divsChild>
        </w:div>
        <w:div w:id="1748532507">
          <w:marLeft w:val="0"/>
          <w:marRight w:val="0"/>
          <w:marTop w:val="0"/>
          <w:marBottom w:val="0"/>
          <w:divBdr>
            <w:top w:val="none" w:sz="0" w:space="0" w:color="auto"/>
            <w:left w:val="none" w:sz="0" w:space="0" w:color="auto"/>
            <w:bottom w:val="none" w:sz="0" w:space="0" w:color="auto"/>
            <w:right w:val="single" w:sz="12" w:space="0" w:color="FFFFFF"/>
          </w:divBdr>
          <w:divsChild>
            <w:div w:id="729303358">
              <w:marLeft w:val="0"/>
              <w:marRight w:val="0"/>
              <w:marTop w:val="0"/>
              <w:marBottom w:val="0"/>
              <w:divBdr>
                <w:top w:val="none" w:sz="0" w:space="0" w:color="auto"/>
                <w:left w:val="none" w:sz="0" w:space="0" w:color="auto"/>
                <w:bottom w:val="none" w:sz="0" w:space="0" w:color="auto"/>
                <w:right w:val="none" w:sz="0" w:space="0" w:color="auto"/>
              </w:divBdr>
            </w:div>
          </w:divsChild>
        </w:div>
        <w:div w:id="605694090">
          <w:marLeft w:val="0"/>
          <w:marRight w:val="0"/>
          <w:marTop w:val="0"/>
          <w:marBottom w:val="0"/>
          <w:divBdr>
            <w:top w:val="none" w:sz="0" w:space="0" w:color="auto"/>
            <w:left w:val="none" w:sz="0" w:space="0" w:color="auto"/>
            <w:bottom w:val="none" w:sz="0" w:space="0" w:color="auto"/>
            <w:right w:val="single" w:sz="12" w:space="0" w:color="FFFFFF"/>
          </w:divBdr>
          <w:divsChild>
            <w:div w:id="649944615">
              <w:marLeft w:val="0"/>
              <w:marRight w:val="0"/>
              <w:marTop w:val="0"/>
              <w:marBottom w:val="0"/>
              <w:divBdr>
                <w:top w:val="none" w:sz="0" w:space="0" w:color="auto"/>
                <w:left w:val="none" w:sz="0" w:space="0" w:color="auto"/>
                <w:bottom w:val="none" w:sz="0" w:space="0" w:color="auto"/>
                <w:right w:val="none" w:sz="0" w:space="0" w:color="auto"/>
              </w:divBdr>
            </w:div>
          </w:divsChild>
        </w:div>
        <w:div w:id="1303735792">
          <w:marLeft w:val="0"/>
          <w:marRight w:val="0"/>
          <w:marTop w:val="0"/>
          <w:marBottom w:val="0"/>
          <w:divBdr>
            <w:top w:val="none" w:sz="0" w:space="0" w:color="auto"/>
            <w:left w:val="none" w:sz="0" w:space="0" w:color="auto"/>
            <w:bottom w:val="none" w:sz="0" w:space="0" w:color="auto"/>
            <w:right w:val="single" w:sz="12" w:space="0" w:color="FFFFFF"/>
          </w:divBdr>
          <w:divsChild>
            <w:div w:id="14991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035</dc:creator>
  <cp:keywords/>
  <dc:description/>
  <cp:lastModifiedBy>hokota 035</cp:lastModifiedBy>
  <cp:revision>1</cp:revision>
  <dcterms:created xsi:type="dcterms:W3CDTF">2026-01-21T01:35:00Z</dcterms:created>
  <dcterms:modified xsi:type="dcterms:W3CDTF">2026-01-21T01:37:00Z</dcterms:modified>
</cp:coreProperties>
</file>